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北京市文化市场综合执法总队《其他文化活动检查单》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其他文化活动情况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境外个人进行非物质文化遗产调查的行为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highlight w:val="none"/>
        </w:rPr>
        <w:t>是否存在境外个人进行非物质文化遗产调查的行为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境外组织或者个人在中华人民共和国境内进行非物质文化遗产调查，应当报经省、自治区、直辖市人民政府文化主管部门批准；调查在两个以上省、自治区、直辖市行政区域进行的，应当报经国务院文化主管部门批准；调查结束后，应当向批准调查的文化主管部门提交调查报告和调查中取得的实物图片、资料复制件。</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rPr>
        <w:t>境外个人</w:t>
      </w:r>
      <w:r>
        <w:rPr>
          <w:rFonts w:hint="eastAsia" w:ascii="仿宋_GB2312" w:hAnsi="仿宋_GB2312" w:eastAsia="仿宋_GB2312" w:cs="仿宋_GB2312"/>
          <w:sz w:val="32"/>
          <w:szCs w:val="32"/>
          <w:lang w:eastAsia="zh-CN"/>
        </w:rPr>
        <w:t>违反《中华人民共和国非物质文化遗产法》第十五条规定</w:t>
      </w:r>
      <w:bookmarkStart w:id="0" w:name="_GoBack"/>
      <w:bookmarkEnd w:id="0"/>
      <w:r>
        <w:rPr>
          <w:rFonts w:hint="eastAsia" w:ascii="仿宋_GB2312" w:hAnsi="仿宋_GB2312" w:eastAsia="仿宋_GB2312" w:cs="仿宋_GB2312"/>
          <w:sz w:val="32"/>
          <w:szCs w:val="32"/>
        </w:rPr>
        <w:t>进行非物质文化遗产调查的行为。</w:t>
      </w:r>
    </w:p>
    <w:p>
      <w:pPr>
        <w:spacing w:line="600" w:lineRule="exact"/>
        <w:ind w:firstLine="640"/>
        <w:rPr>
          <w:rFonts w:ascii="仿宋_GB2312" w:hAnsi="仿宋_GB2312" w:eastAsia="仿宋_GB2312" w:cs="仿宋_GB2312"/>
          <w:sz w:val="32"/>
          <w:szCs w:val="32"/>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5E81B19"/>
    <w:rsid w:val="18864DF2"/>
    <w:rsid w:val="1A9A7EB9"/>
    <w:rsid w:val="32FA0843"/>
    <w:rsid w:val="394D43E6"/>
    <w:rsid w:val="429D318C"/>
    <w:rsid w:val="443A2947"/>
    <w:rsid w:val="4D4F114B"/>
    <w:rsid w:val="5D5D1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2021-09-14T09:06:10Z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991673AF5EE44E8E9A36A95FD95E3236</vt:lpwstr>
  </property>
</Properties>
</file>